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0C" w:rsidRDefault="0035790C" w:rsidP="00197B1A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197B1A" w:rsidRDefault="00E7152C" w:rsidP="00197B1A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F04892">
        <w:rPr>
          <w:rFonts w:ascii="Century Gothic" w:hAnsi="Century Gothic" w:cs="Tahoma"/>
          <w:sz w:val="22"/>
          <w:szCs w:val="22"/>
        </w:rPr>
        <w:t>31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6D2E8C">
        <w:rPr>
          <w:rFonts w:ascii="Century Gothic" w:hAnsi="Century Gothic" w:cs="Tahoma"/>
          <w:sz w:val="22"/>
          <w:szCs w:val="22"/>
        </w:rPr>
        <w:t>– GM</w:t>
      </w:r>
      <w:r w:rsidR="005A6898">
        <w:rPr>
          <w:rFonts w:ascii="Century Gothic" w:hAnsi="Century Gothic" w:cs="Tahoma"/>
          <w:sz w:val="22"/>
          <w:szCs w:val="22"/>
        </w:rPr>
        <w:t>.</w:t>
      </w:r>
    </w:p>
    <w:p w:rsidR="0035790C" w:rsidRDefault="0035790C" w:rsidP="00197B1A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AE12C4" w:rsidRDefault="00BF227F" w:rsidP="00440672">
      <w:pPr>
        <w:spacing w:line="360" w:lineRule="auto"/>
        <w:ind w:left="3686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Revoga-se o </w:t>
      </w:r>
      <w:r w:rsidRPr="009E6EA2">
        <w:rPr>
          <w:rFonts w:ascii="Century Gothic" w:hAnsi="Century Gothic" w:cs="Tahoma"/>
          <w:color w:val="000000" w:themeColor="text1"/>
          <w:sz w:val="22"/>
          <w:szCs w:val="22"/>
        </w:rPr>
        <w:t>§1°.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Pr="00BF227F">
        <w:rPr>
          <w:rFonts w:ascii="Century Gothic" w:hAnsi="Century Gothic" w:cs="Tahoma"/>
          <w:color w:val="000000" w:themeColor="text1"/>
          <w:sz w:val="22"/>
          <w:szCs w:val="22"/>
        </w:rPr>
        <w:t>do art. 1º</w:t>
      </w:r>
      <w:r>
        <w:rPr>
          <w:rFonts w:ascii="Century Gothic" w:hAnsi="Century Gothic" w:cs="Tahoma"/>
          <w:sz w:val="22"/>
          <w:szCs w:val="22"/>
        </w:rPr>
        <w:t xml:space="preserve"> e </w:t>
      </w:r>
      <w:proofErr w:type="gramStart"/>
      <w:r>
        <w:rPr>
          <w:rFonts w:ascii="Century Gothic" w:hAnsi="Century Gothic" w:cs="Tahoma"/>
          <w:sz w:val="22"/>
          <w:szCs w:val="22"/>
        </w:rPr>
        <w:t>p</w:t>
      </w:r>
      <w:r w:rsidR="00EF438D">
        <w:rPr>
          <w:rFonts w:ascii="Century Gothic" w:hAnsi="Century Gothic" w:cs="Tahoma"/>
          <w:sz w:val="22"/>
          <w:szCs w:val="22"/>
        </w:rPr>
        <w:t>rorroga</w:t>
      </w:r>
      <w:r w:rsidR="00A40DDD">
        <w:rPr>
          <w:rFonts w:ascii="Century Gothic" w:hAnsi="Century Gothic" w:cs="Tahoma"/>
          <w:sz w:val="22"/>
          <w:szCs w:val="22"/>
        </w:rPr>
        <w:t>-se</w:t>
      </w:r>
      <w:proofErr w:type="gramEnd"/>
      <w:r w:rsidR="00EF438D">
        <w:rPr>
          <w:rFonts w:ascii="Century Gothic" w:hAnsi="Century Gothic" w:cs="Tahoma"/>
          <w:sz w:val="22"/>
          <w:szCs w:val="22"/>
        </w:rPr>
        <w:t xml:space="preserve"> </w:t>
      </w:r>
      <w:r w:rsidR="007316CD">
        <w:rPr>
          <w:rFonts w:ascii="Century Gothic" w:hAnsi="Century Gothic" w:cs="Tahoma"/>
          <w:sz w:val="22"/>
          <w:szCs w:val="22"/>
        </w:rPr>
        <w:t xml:space="preserve">a vigência </w:t>
      </w:r>
      <w:r>
        <w:rPr>
          <w:rFonts w:ascii="Century Gothic" w:hAnsi="Century Gothic" w:cs="Tahoma"/>
          <w:sz w:val="22"/>
          <w:szCs w:val="22"/>
        </w:rPr>
        <w:t xml:space="preserve">do art. 3º, </w:t>
      </w:r>
      <w:r>
        <w:rPr>
          <w:rFonts w:ascii="Century Gothic" w:hAnsi="Century Gothic" w:cs="Tahoma"/>
          <w:color w:val="000000" w:themeColor="text1"/>
          <w:sz w:val="22"/>
          <w:szCs w:val="22"/>
        </w:rPr>
        <w:t>do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EF438D">
        <w:rPr>
          <w:rFonts w:ascii="Century Gothic" w:hAnsi="Century Gothic" w:cs="Tahoma"/>
          <w:sz w:val="22"/>
          <w:szCs w:val="22"/>
        </w:rPr>
        <w:t>Decreto nº 1320</w:t>
      </w:r>
      <w:r w:rsidR="007316CD">
        <w:rPr>
          <w:rFonts w:ascii="Century Gothic" w:hAnsi="Century Gothic" w:cs="Tahoma"/>
          <w:sz w:val="22"/>
          <w:szCs w:val="22"/>
        </w:rPr>
        <w:t>, de 20 de maio de 2021</w:t>
      </w:r>
      <w:r w:rsidR="00EF438D">
        <w:rPr>
          <w:rFonts w:ascii="Century Gothic" w:hAnsi="Century Gothic" w:cs="Tahoma"/>
          <w:sz w:val="22"/>
          <w:szCs w:val="22"/>
        </w:rPr>
        <w:t xml:space="preserve">, que dispõe sobre </w:t>
      </w:r>
      <w:r w:rsidR="007316CD">
        <w:rPr>
          <w:rFonts w:ascii="Century Gothic" w:hAnsi="Century Gothic" w:cs="Tahoma"/>
          <w:sz w:val="22"/>
          <w:szCs w:val="22"/>
        </w:rPr>
        <w:t xml:space="preserve">a </w:t>
      </w:r>
      <w:r w:rsidR="00534D67">
        <w:rPr>
          <w:rFonts w:ascii="Century Gothic" w:hAnsi="Century Gothic" w:cs="Tahoma"/>
          <w:sz w:val="22"/>
          <w:szCs w:val="22"/>
        </w:rPr>
        <w:t>suspensão de aulas presenciais no âmbito do município e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>-2</w:t>
      </w:r>
      <w:r w:rsidR="007316CD">
        <w:rPr>
          <w:rFonts w:ascii="Century Gothic" w:hAnsi="Century Gothic" w:cs="Tahoma"/>
          <w:sz w:val="22"/>
          <w:szCs w:val="22"/>
        </w:rPr>
        <w:t>.</w:t>
      </w:r>
    </w:p>
    <w:p w:rsidR="005A6898" w:rsidRDefault="005A6898" w:rsidP="00440672">
      <w:pPr>
        <w:spacing w:line="360" w:lineRule="auto"/>
        <w:ind w:left="3686"/>
        <w:jc w:val="both"/>
        <w:rPr>
          <w:rFonts w:ascii="Century Gothic" w:hAnsi="Century Gothic" w:cs="Tahoma"/>
          <w:sz w:val="22"/>
          <w:szCs w:val="22"/>
        </w:rPr>
      </w:pPr>
    </w:p>
    <w:p w:rsidR="00333439" w:rsidRDefault="005679B1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>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</w:p>
    <w:p w:rsidR="00197B1A" w:rsidRPr="005A0B10" w:rsidRDefault="00197B1A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8D4287" w:rsidRPr="005A0B10" w:rsidRDefault="008D428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Considerando </w:t>
      </w:r>
      <w:r w:rsidR="00AE12C4">
        <w:rPr>
          <w:rFonts w:ascii="Century Gothic" w:hAnsi="Century Gothic"/>
          <w:sz w:val="22"/>
          <w:szCs w:val="22"/>
        </w:rPr>
        <w:t>que as escolas estaduais e mu</w:t>
      </w:r>
      <w:r w:rsidRPr="00AE12C4">
        <w:rPr>
          <w:rFonts w:ascii="Century Gothic" w:hAnsi="Century Gothic"/>
          <w:sz w:val="22"/>
          <w:szCs w:val="22"/>
        </w:rPr>
        <w:t>nic</w:t>
      </w:r>
      <w:r w:rsidR="00AE12C4">
        <w:rPr>
          <w:rFonts w:ascii="Century Gothic" w:hAnsi="Century Gothic"/>
          <w:sz w:val="22"/>
          <w:szCs w:val="22"/>
        </w:rPr>
        <w:t>i</w:t>
      </w:r>
      <w:r w:rsidRPr="00AE12C4">
        <w:rPr>
          <w:rFonts w:ascii="Century Gothic" w:hAnsi="Century Gothic"/>
          <w:sz w:val="22"/>
          <w:szCs w:val="22"/>
        </w:rPr>
        <w:t xml:space="preserve">pais </w:t>
      </w:r>
      <w:r w:rsidR="00A40DDD">
        <w:rPr>
          <w:rFonts w:ascii="Century Gothic" w:hAnsi="Century Gothic"/>
          <w:sz w:val="22"/>
          <w:szCs w:val="22"/>
        </w:rPr>
        <w:t>do município ocupam espaço</w:t>
      </w:r>
      <w:r w:rsidR="00AE12C4">
        <w:rPr>
          <w:rFonts w:ascii="Century Gothic" w:hAnsi="Century Gothic"/>
          <w:sz w:val="22"/>
          <w:szCs w:val="22"/>
        </w:rPr>
        <w:t>s em</w:t>
      </w:r>
      <w:r w:rsidRPr="00AE12C4">
        <w:rPr>
          <w:rFonts w:ascii="Century Gothic" w:hAnsi="Century Gothic"/>
          <w:sz w:val="22"/>
          <w:szCs w:val="22"/>
        </w:rPr>
        <w:t xml:space="preserve"> dualidade e o transporte escolares</w:t>
      </w:r>
      <w:r w:rsidR="00AE12C4">
        <w:rPr>
          <w:rFonts w:ascii="Century Gothic" w:hAnsi="Century Gothic"/>
          <w:sz w:val="22"/>
          <w:szCs w:val="22"/>
        </w:rPr>
        <w:t xml:space="preserve"> é compartilhado por </w:t>
      </w:r>
      <w:proofErr w:type="gramStart"/>
      <w:r w:rsidR="00AE12C4">
        <w:rPr>
          <w:rFonts w:ascii="Century Gothic" w:hAnsi="Century Gothic"/>
          <w:sz w:val="22"/>
          <w:szCs w:val="22"/>
        </w:rPr>
        <w:t>todos</w:t>
      </w:r>
      <w:proofErr w:type="gramEnd"/>
      <w:r w:rsidR="00AE12C4">
        <w:rPr>
          <w:rFonts w:ascii="Century Gothic" w:hAnsi="Century Gothic"/>
          <w:sz w:val="22"/>
          <w:szCs w:val="22"/>
        </w:rPr>
        <w:t xml:space="preserve"> alunos da zona rural;</w:t>
      </w:r>
    </w:p>
    <w:p w:rsidR="00EC7655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815015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197B1A" w:rsidRDefault="00197B1A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CD0338" w:rsidRPr="005A0B10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BF227F" w:rsidRPr="00955F11" w:rsidRDefault="00BF227F" w:rsidP="00CD0338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</w:t>
      </w:r>
      <w:r>
        <w:rPr>
          <w:rFonts w:ascii="Century Gothic" w:hAnsi="Century Gothic" w:cs="Tahoma"/>
          <w:sz w:val="22"/>
          <w:szCs w:val="22"/>
        </w:rPr>
        <w:t xml:space="preserve"> 1º. Fica revogado </w:t>
      </w:r>
      <w:r w:rsidRPr="00955F11">
        <w:rPr>
          <w:rFonts w:ascii="Century Gothic" w:hAnsi="Century Gothic" w:cs="Tahoma"/>
          <w:sz w:val="22"/>
          <w:szCs w:val="22"/>
        </w:rPr>
        <w:t xml:space="preserve">o </w:t>
      </w:r>
      <w:r w:rsidRPr="00955F11">
        <w:rPr>
          <w:rFonts w:ascii="Century Gothic" w:hAnsi="Century Gothic" w:cs="Tahoma"/>
          <w:color w:val="000000" w:themeColor="text1"/>
          <w:sz w:val="22"/>
          <w:szCs w:val="22"/>
        </w:rPr>
        <w:t>§1°. do art. 1º do Decreto nº 1320, de 20 de maio de 2021.</w:t>
      </w:r>
    </w:p>
    <w:p w:rsidR="00BF227F" w:rsidRDefault="00BF227F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955F11">
        <w:rPr>
          <w:rFonts w:ascii="Century Gothic" w:hAnsi="Century Gothic" w:cs="Tahoma"/>
          <w:b/>
          <w:sz w:val="22"/>
          <w:szCs w:val="22"/>
        </w:rPr>
        <w:t>Art.</w:t>
      </w:r>
      <w:r w:rsidRPr="00955F11">
        <w:rPr>
          <w:rFonts w:ascii="Century Gothic" w:hAnsi="Century Gothic" w:cs="Tahoma"/>
          <w:sz w:val="22"/>
          <w:szCs w:val="22"/>
        </w:rPr>
        <w:t xml:space="preserve"> 2°. Prorroga-se a vigência do</w:t>
      </w:r>
      <w:r>
        <w:rPr>
          <w:rFonts w:ascii="Century Gothic" w:hAnsi="Century Gothic" w:cs="Tahoma"/>
          <w:sz w:val="22"/>
          <w:szCs w:val="22"/>
        </w:rPr>
        <w:t xml:space="preserve"> art. 3º do Decreto n° 1320/2021 - GM, </w:t>
      </w:r>
      <w:bookmarkStart w:id="0" w:name="_GoBack"/>
      <w:bookmarkEnd w:id="0"/>
      <w:r>
        <w:rPr>
          <w:rFonts w:ascii="Century Gothic" w:hAnsi="Century Gothic" w:cs="Tahoma"/>
          <w:sz w:val="22"/>
          <w:szCs w:val="22"/>
        </w:rPr>
        <w:t>para o dia 21 de junho de 2021</w:t>
      </w:r>
      <w:r w:rsidR="00955F11">
        <w:rPr>
          <w:rFonts w:ascii="Century Gothic" w:hAnsi="Century Gothic" w:cs="Tahoma"/>
          <w:sz w:val="22"/>
          <w:szCs w:val="22"/>
        </w:rPr>
        <w:t>.</w:t>
      </w:r>
      <w:r>
        <w:rPr>
          <w:rFonts w:ascii="Century Gothic" w:hAnsi="Century Gothic" w:cs="Tahoma"/>
          <w:sz w:val="22"/>
          <w:szCs w:val="22"/>
        </w:rPr>
        <w:t xml:space="preserve"> </w:t>
      </w:r>
    </w:p>
    <w:p w:rsidR="00045678" w:rsidRDefault="008D06E3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Parágrafo único.</w:t>
      </w:r>
      <w:r>
        <w:rPr>
          <w:rFonts w:ascii="Century Gothic" w:hAnsi="Century Gothic" w:cs="Tahoma"/>
          <w:sz w:val="22"/>
          <w:szCs w:val="22"/>
        </w:rPr>
        <w:t xml:space="preserve"> As demais disposições previstas no Decreto Municipal n° 1320</w:t>
      </w:r>
      <w:r w:rsidR="00CB7E18">
        <w:rPr>
          <w:rFonts w:ascii="Century Gothic" w:hAnsi="Century Gothic" w:cs="Tahoma"/>
          <w:sz w:val="22"/>
          <w:szCs w:val="22"/>
        </w:rPr>
        <w:t xml:space="preserve">, de 20 de maio de </w:t>
      </w:r>
      <w:r>
        <w:rPr>
          <w:rFonts w:ascii="Century Gothic" w:hAnsi="Century Gothic" w:cs="Tahoma"/>
          <w:sz w:val="22"/>
          <w:szCs w:val="22"/>
        </w:rPr>
        <w:t>2021 permanecem inalteradas.</w:t>
      </w:r>
    </w:p>
    <w:p w:rsidR="005A0B10" w:rsidRDefault="00440672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rt. </w:t>
      </w:r>
      <w:r w:rsidR="005A6898" w:rsidRPr="005A6898">
        <w:rPr>
          <w:rFonts w:ascii="Century Gothic" w:hAnsi="Century Gothic" w:cs="Tahoma"/>
          <w:sz w:val="22"/>
          <w:szCs w:val="22"/>
        </w:rPr>
        <w:t>3</w:t>
      </w:r>
      <w:r>
        <w:rPr>
          <w:rFonts w:ascii="Century Gothic" w:hAnsi="Century Gothic" w:cs="Tahoma"/>
          <w:b/>
          <w:sz w:val="22"/>
          <w:szCs w:val="22"/>
        </w:rPr>
        <w:t>º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291223">
        <w:rPr>
          <w:rFonts w:ascii="Century Gothic" w:hAnsi="Century Gothic" w:cs="Tahoma"/>
          <w:sz w:val="22"/>
          <w:szCs w:val="22"/>
        </w:rPr>
        <w:t>, com seus efeitos a partir de 15 de junho de 2021.</w:t>
      </w:r>
    </w:p>
    <w:p w:rsidR="00955F11" w:rsidRDefault="00955F11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8D06E3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  <w:r w:rsidR="00197B1A">
        <w:rPr>
          <w:rFonts w:ascii="Century Gothic" w:hAnsi="Century Gothic" w:cs="Tahoma"/>
          <w:b/>
          <w:sz w:val="22"/>
          <w:szCs w:val="22"/>
        </w:rPr>
        <w:t>.</w:t>
      </w:r>
    </w:p>
    <w:p w:rsidR="00FF2B8D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A40DDD">
        <w:rPr>
          <w:rFonts w:ascii="Century Gothic" w:hAnsi="Century Gothic" w:cs="Tahoma"/>
          <w:sz w:val="22"/>
          <w:szCs w:val="22"/>
        </w:rPr>
        <w:t>11</w:t>
      </w:r>
      <w:r w:rsidR="001B13A0">
        <w:rPr>
          <w:rFonts w:ascii="Century Gothic" w:hAnsi="Century Gothic" w:cs="Tahoma"/>
          <w:sz w:val="22"/>
          <w:szCs w:val="22"/>
        </w:rPr>
        <w:t xml:space="preserve"> de </w:t>
      </w:r>
      <w:r w:rsidR="00EF438D">
        <w:rPr>
          <w:rFonts w:ascii="Century Gothic" w:hAnsi="Century Gothic" w:cs="Tahoma"/>
          <w:sz w:val="22"/>
          <w:szCs w:val="22"/>
        </w:rPr>
        <w:t>junho</w:t>
      </w:r>
      <w:r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815015">
        <w:rPr>
          <w:rFonts w:ascii="Century Gothic" w:hAnsi="Century Gothic" w:cs="Tahoma"/>
          <w:sz w:val="22"/>
          <w:szCs w:val="22"/>
        </w:rPr>
        <w:t>.</w:t>
      </w:r>
    </w:p>
    <w:p w:rsidR="00955F11" w:rsidRPr="008D06E3" w:rsidRDefault="00955F11" w:rsidP="00955F11">
      <w:pPr>
        <w:tabs>
          <w:tab w:val="left" w:pos="1025"/>
        </w:tabs>
        <w:spacing w:line="360" w:lineRule="auto"/>
        <w:ind w:left="-284"/>
        <w:jc w:val="center"/>
        <w:rPr>
          <w:rFonts w:ascii="Century Gothic" w:hAnsi="Century Gothic" w:cs="Tahoma"/>
          <w:b/>
          <w:sz w:val="22"/>
          <w:szCs w:val="22"/>
        </w:rPr>
      </w:pPr>
    </w:p>
    <w:p w:rsidR="007E2962" w:rsidRPr="005A0B10" w:rsidRDefault="007E2962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F85864" w:rsidRPr="005A0B10" w:rsidRDefault="007E2962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</w:p>
    <w:sectPr w:rsidR="00F85864" w:rsidRPr="005A0B10" w:rsidSect="00955F11">
      <w:headerReference w:type="default" r:id="rId8"/>
      <w:footerReference w:type="even" r:id="rId9"/>
      <w:footerReference w:type="default" r:id="rId10"/>
      <w:pgSz w:w="11907" w:h="16840" w:code="9"/>
      <w:pgMar w:top="417" w:right="1275" w:bottom="720" w:left="1418" w:header="142" w:footer="0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90C" w:rsidRDefault="0035790C" w:rsidP="00786EA7">
      <w:r>
        <w:separator/>
      </w:r>
    </w:p>
  </w:endnote>
  <w:endnote w:type="continuationSeparator" w:id="1">
    <w:p w:rsidR="0035790C" w:rsidRDefault="0035790C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0C" w:rsidRDefault="0035790C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5790C" w:rsidRDefault="0035790C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0C" w:rsidRDefault="0035790C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35790C" w:rsidRPr="002466F7" w:rsidRDefault="0035790C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35790C" w:rsidRPr="002466F7" w:rsidRDefault="0035790C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35790C" w:rsidRPr="002466F7" w:rsidRDefault="0035790C" w:rsidP="00BF0752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35790C" w:rsidRDefault="0035790C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90C" w:rsidRDefault="0035790C" w:rsidP="00786EA7">
      <w:r>
        <w:separator/>
      </w:r>
    </w:p>
  </w:footnote>
  <w:footnote w:type="continuationSeparator" w:id="1">
    <w:p w:rsidR="0035790C" w:rsidRDefault="0035790C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0C" w:rsidRDefault="0035790C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90C" w:rsidRPr="009C4D6F" w:rsidRDefault="0035790C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35790C" w:rsidRDefault="0035790C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35790C" w:rsidRDefault="0035790C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35790C" w:rsidRPr="00103ED6" w:rsidRDefault="0035790C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7CA5"/>
    <w:rsid w:val="0003021C"/>
    <w:rsid w:val="0003372B"/>
    <w:rsid w:val="00033F4A"/>
    <w:rsid w:val="00040E00"/>
    <w:rsid w:val="00041441"/>
    <w:rsid w:val="00042AE2"/>
    <w:rsid w:val="00045678"/>
    <w:rsid w:val="00072C30"/>
    <w:rsid w:val="00073D58"/>
    <w:rsid w:val="00074D45"/>
    <w:rsid w:val="00080D41"/>
    <w:rsid w:val="00085BC8"/>
    <w:rsid w:val="000925D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6A9B"/>
    <w:rsid w:val="00137D70"/>
    <w:rsid w:val="00144AC7"/>
    <w:rsid w:val="00151C74"/>
    <w:rsid w:val="0015636D"/>
    <w:rsid w:val="0016189B"/>
    <w:rsid w:val="001640C7"/>
    <w:rsid w:val="00177ECA"/>
    <w:rsid w:val="0018684B"/>
    <w:rsid w:val="00194616"/>
    <w:rsid w:val="00197B1A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1223"/>
    <w:rsid w:val="0029679B"/>
    <w:rsid w:val="00297807"/>
    <w:rsid w:val="002A4DA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5790C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09CE"/>
    <w:rsid w:val="00426235"/>
    <w:rsid w:val="004321F2"/>
    <w:rsid w:val="00434D3C"/>
    <w:rsid w:val="00440672"/>
    <w:rsid w:val="00443C6A"/>
    <w:rsid w:val="004607EA"/>
    <w:rsid w:val="00470610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27DE2"/>
    <w:rsid w:val="0053175A"/>
    <w:rsid w:val="00534D67"/>
    <w:rsid w:val="005350EC"/>
    <w:rsid w:val="00540F71"/>
    <w:rsid w:val="005420FB"/>
    <w:rsid w:val="00556916"/>
    <w:rsid w:val="00560FAF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A6898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2E8C"/>
    <w:rsid w:val="006D3888"/>
    <w:rsid w:val="006F2C6F"/>
    <w:rsid w:val="007023E7"/>
    <w:rsid w:val="007217C7"/>
    <w:rsid w:val="00723BCC"/>
    <w:rsid w:val="00727D59"/>
    <w:rsid w:val="007316CD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D79FA"/>
    <w:rsid w:val="007E19A9"/>
    <w:rsid w:val="007E2962"/>
    <w:rsid w:val="007F219B"/>
    <w:rsid w:val="008004A5"/>
    <w:rsid w:val="00812533"/>
    <w:rsid w:val="00815015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06E3"/>
    <w:rsid w:val="008D4287"/>
    <w:rsid w:val="008D4DB3"/>
    <w:rsid w:val="00912F47"/>
    <w:rsid w:val="00924B4F"/>
    <w:rsid w:val="00927B02"/>
    <w:rsid w:val="00927C67"/>
    <w:rsid w:val="0093507F"/>
    <w:rsid w:val="0094395E"/>
    <w:rsid w:val="00955F11"/>
    <w:rsid w:val="00962278"/>
    <w:rsid w:val="00992F54"/>
    <w:rsid w:val="009A7E83"/>
    <w:rsid w:val="009B7288"/>
    <w:rsid w:val="009C02E2"/>
    <w:rsid w:val="009C6C42"/>
    <w:rsid w:val="009C7E21"/>
    <w:rsid w:val="009D00CE"/>
    <w:rsid w:val="009D0A39"/>
    <w:rsid w:val="009D6BB5"/>
    <w:rsid w:val="009E10C7"/>
    <w:rsid w:val="009E6EA2"/>
    <w:rsid w:val="00A05B04"/>
    <w:rsid w:val="00A15BE3"/>
    <w:rsid w:val="00A246BF"/>
    <w:rsid w:val="00A31BB3"/>
    <w:rsid w:val="00A31F5E"/>
    <w:rsid w:val="00A40BF0"/>
    <w:rsid w:val="00A40DDD"/>
    <w:rsid w:val="00A440B7"/>
    <w:rsid w:val="00A443F9"/>
    <w:rsid w:val="00A46B97"/>
    <w:rsid w:val="00A503EA"/>
    <w:rsid w:val="00A53969"/>
    <w:rsid w:val="00A62796"/>
    <w:rsid w:val="00A63408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12C4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256A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27F"/>
    <w:rsid w:val="00BF2811"/>
    <w:rsid w:val="00C04473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8104F"/>
    <w:rsid w:val="00CB79F1"/>
    <w:rsid w:val="00CB7E18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11A51"/>
    <w:rsid w:val="00E14F95"/>
    <w:rsid w:val="00E15DC7"/>
    <w:rsid w:val="00E37412"/>
    <w:rsid w:val="00E42A1C"/>
    <w:rsid w:val="00E4532D"/>
    <w:rsid w:val="00E52270"/>
    <w:rsid w:val="00E7152C"/>
    <w:rsid w:val="00E76252"/>
    <w:rsid w:val="00E77A37"/>
    <w:rsid w:val="00E87E5E"/>
    <w:rsid w:val="00EB6663"/>
    <w:rsid w:val="00EC3987"/>
    <w:rsid w:val="00EC7655"/>
    <w:rsid w:val="00ED3294"/>
    <w:rsid w:val="00ED753A"/>
    <w:rsid w:val="00EF438D"/>
    <w:rsid w:val="00F00449"/>
    <w:rsid w:val="00F04892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B3B95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291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991-1503-4E81-AA6B-B2A57597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231</cp:revision>
  <cp:lastPrinted>2021-06-11T16:55:00Z</cp:lastPrinted>
  <dcterms:created xsi:type="dcterms:W3CDTF">2021-05-27T12:54:00Z</dcterms:created>
  <dcterms:modified xsi:type="dcterms:W3CDTF">2021-06-11T16:58:00Z</dcterms:modified>
</cp:coreProperties>
</file>